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F786A" w14:textId="77777777" w:rsidR="00000000" w:rsidRDefault="00D60430">
      <w:pPr>
        <w:rPr>
          <w:rFonts w:ascii="Gentium Basic" w:hAnsi="Gentium Basic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5"/>
        <w:gridCol w:w="4920"/>
      </w:tblGrid>
      <w:tr w:rsidR="00000000" w14:paraId="6D4189BF" w14:textId="77777777">
        <w:tc>
          <w:tcPr>
            <w:tcW w:w="5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B4AC2" w14:textId="661363A4" w:rsidR="00000000" w:rsidRDefault="002C2242">
            <w:pPr>
              <w:pStyle w:val="TableHeading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Current Bylaws</w:t>
            </w:r>
          </w:p>
        </w:tc>
        <w:tc>
          <w:tcPr>
            <w:tcW w:w="4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8FBC8E" w14:textId="137DD454" w:rsidR="00000000" w:rsidRDefault="002C2242">
            <w:pPr>
              <w:pStyle w:val="TableHeading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Proposed “New Day” Bylaws</w:t>
            </w:r>
          </w:p>
        </w:tc>
      </w:tr>
      <w:tr w:rsidR="00000000" w14:paraId="4176F360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E4F63" w14:textId="40B47FA5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Member elected local delegates at each station form a local station board and</w:t>
            </w:r>
            <w:r w:rsidR="002C2242">
              <w:rPr>
                <w:rFonts w:ascii="Gentium Basic" w:hAnsi="Gentium Basic"/>
              </w:rPr>
              <w:t xml:space="preserve"> </w:t>
            </w:r>
            <w:r>
              <w:rPr>
                <w:rFonts w:ascii="Gentium Basic" w:hAnsi="Gentium Basic"/>
              </w:rPr>
              <w:t>have advisory budget review and recommendation,</w:t>
            </w:r>
            <w:r>
              <w:rPr>
                <w:rFonts w:ascii="Gentium Basic" w:hAnsi="Gentium Basic"/>
              </w:rPr>
              <w:t xml:space="preserve"> evaluate station management review program and diversity criteria, and elect station representatives to national board. 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484B21" w14:textId="3523A77B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t>Partially member-elected local boards appoint the rest of the local board, and have budget review, management evaluation, program poli</w:t>
            </w:r>
            <w:r>
              <w:rPr>
                <w:rFonts w:ascii="Gentium Basic" w:hAnsi="Gentium Basic"/>
              </w:rPr>
              <w:t xml:space="preserve">cy review and selection of national board </w:t>
            </w:r>
            <w:proofErr w:type="gramStart"/>
            <w:r>
              <w:rPr>
                <w:rFonts w:ascii="Gentium Basic" w:hAnsi="Gentium Basic"/>
              </w:rPr>
              <w:t>reps</w:t>
            </w:r>
            <w:proofErr w:type="gramEnd"/>
            <w:r>
              <w:rPr>
                <w:rFonts w:ascii="Gentium Basic" w:hAnsi="Gentium Basic"/>
              </w:rPr>
              <w:t xml:space="preserve"> duties stripped. Duties are restricted to fundraising and outreach. They are legally community advisory boards with no relation to the governing board of Pacifica.</w:t>
            </w:r>
          </w:p>
        </w:tc>
      </w:tr>
      <w:tr w:rsidR="00000000" w14:paraId="72640246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3812C" w14:textId="77777777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Up to one appointed member of the Pacific</w:t>
            </w:r>
            <w:r>
              <w:rPr>
                <w:rFonts w:ascii="Gentium Basic" w:hAnsi="Gentium Basic"/>
              </w:rPr>
              <w:t xml:space="preserve">a National Board, and only if the option is exercised by the PNB (has not been in 18 years). 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5F198E" w14:textId="77777777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t xml:space="preserve">Three appointed members of the Pacifica National Board are required. </w:t>
            </w:r>
          </w:p>
        </w:tc>
      </w:tr>
      <w:tr w:rsidR="00000000" w14:paraId="5D0A2659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81F49" w14:textId="77777777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 xml:space="preserve">National Board officers selected by vote of </w:t>
            </w:r>
            <w:proofErr w:type="gramStart"/>
            <w:r>
              <w:rPr>
                <w:rFonts w:ascii="Gentium Basic" w:hAnsi="Gentium Basic"/>
              </w:rPr>
              <w:t>22 person</w:t>
            </w:r>
            <w:proofErr w:type="gramEnd"/>
            <w:r>
              <w:rPr>
                <w:rFonts w:ascii="Gentium Basic" w:hAnsi="Gentium Basic"/>
              </w:rPr>
              <w:t xml:space="preserve"> board, serve for 1 year at the pleasu</w:t>
            </w:r>
            <w:r>
              <w:rPr>
                <w:rFonts w:ascii="Gentium Basic" w:hAnsi="Gentium Basic"/>
              </w:rPr>
              <w:t>re of the board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94DDB5" w14:textId="77777777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t xml:space="preserve">National Board officers directly elected by members in national elections and then serve for </w:t>
            </w:r>
            <w:proofErr w:type="gramStart"/>
            <w:r>
              <w:rPr>
                <w:rFonts w:ascii="Gentium Basic" w:hAnsi="Gentium Basic"/>
              </w:rPr>
              <w:t>three year</w:t>
            </w:r>
            <w:proofErr w:type="gramEnd"/>
            <w:r>
              <w:rPr>
                <w:rFonts w:ascii="Gentium Basic" w:hAnsi="Gentium Basic"/>
              </w:rPr>
              <w:t xml:space="preserve"> terms. </w:t>
            </w:r>
          </w:p>
        </w:tc>
      </w:tr>
      <w:tr w:rsidR="00000000" w14:paraId="11BE2890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DFAA6" w14:textId="77777777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Staff, paid and unpaid, represented by six seats on local station board and one national board staff seat per station for a tot</w:t>
            </w:r>
            <w:r>
              <w:rPr>
                <w:rFonts w:ascii="Gentium Basic" w:hAnsi="Gentium Basic"/>
              </w:rPr>
              <w:t xml:space="preserve">al of 5 on the national board. 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3595BC" w14:textId="77777777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t xml:space="preserve">One staff seat for all 100 paid staff on the national board, one staff seat for all 1,000 unpaid staff on national board, elected by staff members in a national election. </w:t>
            </w:r>
          </w:p>
        </w:tc>
      </w:tr>
      <w:tr w:rsidR="00000000" w14:paraId="61FA4B22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26D8EE" w14:textId="77777777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Two affiliate reps on the national board, who can s</w:t>
            </w:r>
            <w:r>
              <w:rPr>
                <w:rFonts w:ascii="Gentium Basic" w:hAnsi="Gentium Basic"/>
              </w:rPr>
              <w:t xml:space="preserve">elf-nominate. Not required to pay dues, can be a free program affiliate like many low power FM stations. 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5CFA47" w14:textId="77777777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t xml:space="preserve">One affiliate rep, selected by a new 501c3 organization called the Association of Affiliates. Only paying affiliate stations included. </w:t>
            </w:r>
          </w:p>
        </w:tc>
      </w:tr>
      <w:tr w:rsidR="00000000" w14:paraId="42EA8D99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15348" w14:textId="77777777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Three listene</w:t>
            </w:r>
            <w:r>
              <w:rPr>
                <w:rFonts w:ascii="Gentium Basic" w:hAnsi="Gentium Basic"/>
              </w:rPr>
              <w:t>r representatives to national board from each station, chosen by local elected delegates.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84DBA1" w14:textId="77777777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t xml:space="preserve">One national board listener representative from each station elected by members. </w:t>
            </w:r>
          </w:p>
        </w:tc>
      </w:tr>
      <w:tr w:rsidR="00000000" w14:paraId="3C4565CD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705D1" w14:textId="77777777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Future membership petitions to change the bylaws by vote require signatures of 5% o</w:t>
            </w:r>
            <w:r>
              <w:rPr>
                <w:rFonts w:ascii="Gentium Basic" w:hAnsi="Gentium Basic"/>
              </w:rPr>
              <w:t xml:space="preserve">f the membership 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B6F799" w14:textId="77777777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t>Future membership petitions to change the bylaws require signatures by 1% of the membership</w:t>
            </w:r>
          </w:p>
        </w:tc>
      </w:tr>
      <w:tr w:rsidR="00000000" w14:paraId="74917A40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F2C4F" w14:textId="77777777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Need to be a current member to run for a delegate slot and can ascend to national board after one year of local board service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33AD70" w14:textId="77777777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t>Have to be a member</w:t>
            </w:r>
            <w:r>
              <w:rPr>
                <w:rFonts w:ascii="Gentium Basic" w:hAnsi="Gentium Basic"/>
              </w:rPr>
              <w:t xml:space="preserve"> for two consecutive years to run for national board. No local board experience required to run for a national board seat. </w:t>
            </w:r>
          </w:p>
        </w:tc>
      </w:tr>
      <w:tr w:rsidR="00000000" w14:paraId="31BCA9A9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BDDEB" w14:textId="77777777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 xml:space="preserve">Local and national board members can be removed via membership recall or board </w:t>
            </w:r>
            <w:r>
              <w:rPr>
                <w:rFonts w:ascii="Gentium Basic" w:hAnsi="Gentium Basic"/>
              </w:rPr>
              <w:lastRenderedPageBreak/>
              <w:t>vote and are succeeded by next runner up from previo</w:t>
            </w:r>
            <w:r>
              <w:rPr>
                <w:rFonts w:ascii="Gentium Basic" w:hAnsi="Gentium Basic"/>
              </w:rPr>
              <w:t xml:space="preserve">us election. 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4D2CCE" w14:textId="77777777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lastRenderedPageBreak/>
              <w:t xml:space="preserve">Right of membership recall is removed. If national board chooses to remove a </w:t>
            </w:r>
            <w:r>
              <w:rPr>
                <w:rFonts w:ascii="Gentium Basic" w:hAnsi="Gentium Basic"/>
              </w:rPr>
              <w:lastRenderedPageBreak/>
              <w:t xml:space="preserve">member by vote, they can simply appoint a replacement and do not need to refer to the list of candidates. </w:t>
            </w:r>
          </w:p>
        </w:tc>
      </w:tr>
      <w:tr w:rsidR="00000000" w14:paraId="5DC8DD2C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C59588" w14:textId="77777777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lastRenderedPageBreak/>
              <w:t>Next election in 2022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0653C8" w14:textId="77777777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t xml:space="preserve">Next election in 2024. Majority of </w:t>
            </w:r>
            <w:r>
              <w:rPr>
                <w:rFonts w:ascii="Gentium Basic" w:hAnsi="Gentium Basic"/>
              </w:rPr>
              <w:t>national board members pre-selected for next 3 years.</w:t>
            </w:r>
          </w:p>
        </w:tc>
      </w:tr>
      <w:tr w:rsidR="00000000" w14:paraId="6703E682" w14:textId="77777777">
        <w:tc>
          <w:tcPr>
            <w:tcW w:w="5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9BFB1" w14:textId="77777777" w:rsidR="00000000" w:rsidRDefault="00D60430">
            <w:pPr>
              <w:pStyle w:val="TableContents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 xml:space="preserve">Number of elections: 10. For listener and staff seats at all five stations. 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9BD9EC" w14:textId="77777777" w:rsidR="00000000" w:rsidRDefault="00D60430">
            <w:pPr>
              <w:pStyle w:val="TableContents"/>
            </w:pPr>
            <w:r>
              <w:rPr>
                <w:rFonts w:ascii="Gentium Basic" w:hAnsi="Gentium Basic"/>
              </w:rPr>
              <w:t xml:space="preserve">Number of elections: 46 - 7 office-specific local seats at each station 6 office-specific national seats, 5 national seat s </w:t>
            </w:r>
            <w:r>
              <w:rPr>
                <w:rFonts w:ascii="Gentium Basic" w:hAnsi="Gentium Basic"/>
              </w:rPr>
              <w:t xml:space="preserve">locally. </w:t>
            </w:r>
          </w:p>
        </w:tc>
      </w:tr>
    </w:tbl>
    <w:p w14:paraId="555DCA68" w14:textId="77777777" w:rsidR="00D60430" w:rsidRDefault="00D60430">
      <w:pPr>
        <w:rPr>
          <w:rFonts w:ascii="Gentium Basic" w:hAnsi="Gentium Basic"/>
        </w:rPr>
      </w:pPr>
    </w:p>
    <w:sectPr w:rsidR="00D60430" w:rsidSect="002C224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ntium Basic">
    <w:altName w:val="Yu Gothic"/>
    <w:panose1 w:val="020B0604020202020204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42"/>
    <w:rsid w:val="002C2242"/>
    <w:rsid w:val="00A67E3B"/>
    <w:rsid w:val="00AF2A1D"/>
    <w:rsid w:val="00D6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281D2DE9"/>
  <w15:chartTrackingRefBased/>
  <w15:docId w15:val="{66C0C78B-21C0-CA43-B42A-4FE1F1F0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2504</Characters>
  <Application>Microsoft Office Word</Application>
  <DocSecurity>0</DocSecurity>
  <Lines>86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Pacifica ByLaws Chart</vt:lpstr>
    </vt:vector>
  </TitlesOfParts>
  <Manager/>
  <Company/>
  <LinksUpToDate>false</LinksUpToDate>
  <CharactersWithSpaces>2965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Pacifica ByLaws Chart</dc:title>
  <dc:subject/>
  <dc:creator>Kendall Morrison</dc:creator>
  <cp:keywords/>
  <dc:description/>
  <cp:lastModifiedBy>Kendall Morrison</cp:lastModifiedBy>
  <cp:revision>2</cp:revision>
  <cp:lastPrinted>1601-01-01T00:00:00Z</cp:lastPrinted>
  <dcterms:created xsi:type="dcterms:W3CDTF">2021-05-09T17:02:00Z</dcterms:created>
  <dcterms:modified xsi:type="dcterms:W3CDTF">2021-05-09T17:02:00Z</dcterms:modified>
  <cp:category/>
</cp:coreProperties>
</file>